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80" w:rsidRDefault="00C16F4A">
      <w:r>
        <w:rPr>
          <w:noProof/>
        </w:rPr>
        <w:drawing>
          <wp:inline distT="0" distB="0" distL="0" distR="0">
            <wp:extent cx="2745415" cy="573428"/>
            <wp:effectExtent l="19050" t="0" r="0" b="0"/>
            <wp:docPr id="1" name="Picture 0" descr="OpenGate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GateLog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4392" cy="573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F4A" w:rsidRDefault="00C16F4A"/>
    <w:p w:rsidR="00C16F4A" w:rsidRDefault="00C16F4A"/>
    <w:p w:rsidR="00C16F4A" w:rsidRDefault="00AF5B6B" w:rsidP="00C16F4A">
      <w:r>
        <w:t>The</w:t>
      </w:r>
      <w:r w:rsidR="00C16F4A">
        <w:t xml:space="preserve"> enclosed example file, “</w:t>
      </w:r>
      <w:r w:rsidR="00C16F4A" w:rsidRPr="00C16F4A">
        <w:t>OpenGate Enterprise Package-recruiting.mdb</w:t>
      </w:r>
      <w:r w:rsidR="00C16F4A">
        <w:t>” contains the following products integrated into one solution:</w:t>
      </w:r>
    </w:p>
    <w:p w:rsidR="00C16F4A" w:rsidRDefault="00C16F4A" w:rsidP="00C16F4A">
      <w:pPr>
        <w:pStyle w:val="ListParagraph"/>
        <w:numPr>
          <w:ilvl w:val="0"/>
          <w:numId w:val="1"/>
        </w:numPr>
      </w:pPr>
      <w:r>
        <w:t>Dashboard Builder Professional Edition</w:t>
      </w:r>
      <w:r w:rsidR="00DA1129">
        <w:t xml:space="preserve"> v2.3.3</w:t>
      </w:r>
    </w:p>
    <w:p w:rsidR="00C16F4A" w:rsidRDefault="00C16F4A" w:rsidP="00C16F4A">
      <w:pPr>
        <w:pStyle w:val="ListParagraph"/>
        <w:numPr>
          <w:ilvl w:val="0"/>
          <w:numId w:val="1"/>
        </w:numPr>
      </w:pPr>
      <w:r>
        <w:t>FormSafe</w:t>
      </w:r>
      <w:r w:rsidR="00DA1129">
        <w:t xml:space="preserve"> v1.3</w:t>
      </w:r>
    </w:p>
    <w:p w:rsidR="00C16F4A" w:rsidRDefault="00C16F4A" w:rsidP="00C16F4A">
      <w:pPr>
        <w:pStyle w:val="ListParagraph"/>
        <w:numPr>
          <w:ilvl w:val="0"/>
          <w:numId w:val="1"/>
        </w:numPr>
      </w:pPr>
      <w:r>
        <w:t>UI Builder – Enterprise</w:t>
      </w:r>
      <w:r w:rsidR="00DA1129">
        <w:t xml:space="preserve"> v3.4.4</w:t>
      </w:r>
    </w:p>
    <w:p w:rsidR="00DA1129" w:rsidRDefault="00DA1129" w:rsidP="00C16F4A"/>
    <w:p w:rsidR="00C16F4A" w:rsidRDefault="00C16F4A" w:rsidP="00C16F4A">
      <w:r>
        <w:t xml:space="preserve">To see FormSafe operate in the, add a Windows username to the role “Recruiter” or “Hiring Manager,” then log in to windows using that username.  When you open </w:t>
      </w:r>
      <w:proofErr w:type="gramStart"/>
      <w:r>
        <w:t>the  “</w:t>
      </w:r>
      <w:proofErr w:type="gramEnd"/>
      <w:r w:rsidRPr="00C16F4A">
        <w:t>OpenGate Enterprise Package-recruiting.mdb</w:t>
      </w:r>
      <w:r>
        <w:t>” database, you will notice that FormSafe has locked down the “Confidential” tab of the “Candidates” form so that “EEO Category” and “Gender” are obscured, and the “Veteran” checkbox is completely hidden.</w:t>
      </w:r>
    </w:p>
    <w:sectPr w:rsidR="00C16F4A" w:rsidSect="00C000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260"/>
    <w:multiLevelType w:val="hybridMultilevel"/>
    <w:tmpl w:val="A878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16F4A"/>
    <w:rsid w:val="00157025"/>
    <w:rsid w:val="0057579A"/>
    <w:rsid w:val="008A0BAB"/>
    <w:rsid w:val="00920CCB"/>
    <w:rsid w:val="00AF5B6B"/>
    <w:rsid w:val="00C00080"/>
    <w:rsid w:val="00C16F4A"/>
    <w:rsid w:val="00DA1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6F4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F4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6F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Opengate Software</dc:creator>
  <cp:keywords/>
  <dc:description/>
  <cp:lastModifiedBy> Opengate Software</cp:lastModifiedBy>
  <cp:revision>5</cp:revision>
  <dcterms:created xsi:type="dcterms:W3CDTF">2009-08-28T17:49:00Z</dcterms:created>
  <dcterms:modified xsi:type="dcterms:W3CDTF">2009-09-01T04:28:00Z</dcterms:modified>
</cp:coreProperties>
</file>